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35" w:rsidRDefault="00F2147A">
      <w:pPr>
        <w:pStyle w:val="1"/>
        <w:adjustRightInd w:val="0"/>
        <w:snapToGrid w:val="0"/>
        <w:spacing w:before="0" w:after="0" w:line="600" w:lineRule="exact"/>
        <w:jc w:val="center"/>
        <w:rPr>
          <w:rFonts w:ascii="黑体" w:eastAsia="黑体" w:hAnsi="黑体"/>
          <w:b w:val="0"/>
          <w:bCs w:val="0"/>
          <w:sz w:val="28"/>
          <w:szCs w:val="28"/>
        </w:rPr>
      </w:pPr>
      <w:bookmarkStart w:id="0" w:name="_Toc15666346"/>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项目建设期绩效评价共性指标框架（参考）</w:t>
      </w:r>
      <w:bookmarkEnd w:id="0"/>
    </w:p>
    <w:p w:rsidR="008F1C35" w:rsidRDefault="005F66AD">
      <w:pPr>
        <w:widowControl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项目绩效评价共性指标框架（参考）——建设期</w:t>
      </w:r>
    </w:p>
    <w:tbl>
      <w:tblPr>
        <w:tblW w:w="9954" w:type="dxa"/>
        <w:jc w:val="center"/>
        <w:tblLayout w:type="fixed"/>
        <w:tblLook w:val="04A0"/>
      </w:tblPr>
      <w:tblGrid>
        <w:gridCol w:w="1568"/>
        <w:gridCol w:w="1271"/>
        <w:gridCol w:w="1929"/>
        <w:gridCol w:w="5186"/>
      </w:tblGrid>
      <w:tr w:rsidR="003E6881">
        <w:trPr>
          <w:trHeight w:val="574"/>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一级指标</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二级指标</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指标解释</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项目公司</w:t>
            </w:r>
            <w:r>
              <w:rPr>
                <w:rFonts w:ascii="等线" w:eastAsia="等线" w:hAnsi="等线" w:cs="宋体"/>
                <w:b/>
                <w:bCs/>
                <w:sz w:val="22"/>
                <w:szCs w:val="22"/>
              </w:rPr>
              <w:br/>
            </w:r>
            <w:r>
              <w:rPr>
                <w:rFonts w:ascii="等线" w:eastAsia="等线" w:hAnsi="等线" w:cs="宋体" w:hint="eastAsia"/>
                <w:b/>
                <w:bCs/>
                <w:sz w:val="22"/>
                <w:szCs w:val="22"/>
              </w:rPr>
              <w:t>（社会资本）</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产出</w:t>
            </w: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竣工验收</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评价项目是否通过竣工验收及竣工验收情况。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效果</w:t>
            </w: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社会影响</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评价项目建设活动对社会发展所带来的直接或间接的正负面影响情况。如新增就业、社会荣誉、重大诉讼、公众舆情与群体性事件等。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生态影响</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评价项目建设期间对生态环境所带来的直接或间接的正负面影响情况。如节能减排、环保处罚等。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评价项目公司或社会资本是否做好项目运营准备工作，如资源配置、潜在风险及沟通协调机制等。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政府相关部门、项目实施机构、社会公众（服务对象）对项目公司或社会资本建设期间相关工作的满意程度。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管理</w:t>
            </w: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组织管理</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评价项目公司组织架构是否健全、人员配置是否合理，能否满足项目日常运作需求。</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资金管理</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评价社会资本项目资本金及项目公司融资资金的到位率和及时性。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档案管理</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评价项目建设相关资料的完整性、真实性以及归集整理的及时性。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信息公开</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评价项目公司或社会资本履行信息公开义务的及时性与准确性。</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项目实施机构</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产出</w:t>
            </w:r>
          </w:p>
        </w:tc>
        <w:tc>
          <w:tcPr>
            <w:tcW w:w="1929" w:type="dxa"/>
            <w:tcBorders>
              <w:top w:val="nil"/>
              <w:left w:val="nil"/>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履约情况</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评价项目实施机构是否及时、有效履行</w:t>
            </w:r>
            <w:r>
              <w:rPr>
                <w:rFonts w:ascii="等线" w:eastAsia="等线" w:hAnsi="等线" w:cs="宋体"/>
                <w:sz w:val="22"/>
                <w:szCs w:val="22"/>
              </w:rPr>
              <w:t>PPP项目合同约定的义务。</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成本控制</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评价项目实施机构履行项目建设成本监督管控责任的情况。（注：</w:t>
            </w:r>
            <w:r>
              <w:rPr>
                <w:rFonts w:ascii="等线" w:eastAsia="等线" w:hAnsi="等线" w:cs="宋体"/>
                <w:sz w:val="22"/>
                <w:szCs w:val="22"/>
              </w:rPr>
              <w:t>PPP项目合同对建设成本进行固定总价约定的不适用本指标）。</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效果</w:t>
            </w:r>
          </w:p>
        </w:tc>
        <w:tc>
          <w:tcPr>
            <w:tcW w:w="1929" w:type="dxa"/>
            <w:tcBorders>
              <w:top w:val="nil"/>
              <w:left w:val="nil"/>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社会公众、项目公司或社会资本对项目实施机构工作开展的满意程度。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auto" w:fill="auto"/>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评价项目实施机构是否为项目可持续性建立有效的工作保障和沟通协调机制。</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管理</w:t>
            </w:r>
          </w:p>
        </w:tc>
        <w:tc>
          <w:tcPr>
            <w:tcW w:w="1929" w:type="dxa"/>
            <w:tcBorders>
              <w:top w:val="nil"/>
              <w:left w:val="nil"/>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前期工作</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评价项目实施机构应承担的项目前期手续及各项工作的落实情况。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资金（资产）管</w:t>
            </w:r>
            <w:r>
              <w:rPr>
                <w:rFonts w:ascii="等线" w:eastAsia="等线" w:hAnsi="等线" w:cs="宋体" w:hint="eastAsia"/>
                <w:sz w:val="22"/>
                <w:szCs w:val="22"/>
              </w:rPr>
              <w:t>理</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评价项目实施机构股权投入、配套投入等到位率和及时性。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监督管理</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评价项目实施机构是否按照</w:t>
            </w:r>
            <w:r>
              <w:rPr>
                <w:rFonts w:ascii="等线" w:eastAsia="等线" w:hAnsi="等线" w:cs="宋体"/>
                <w:color w:val="000000"/>
                <w:sz w:val="22"/>
                <w:szCs w:val="22"/>
              </w:rPr>
              <w:t>PPP项目合同约定履行监督管理职能，如质量监督、财务监督及日常管理等。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8F1C35" w:rsidRDefault="008F1C35">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8F1C35"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信息公开</w:t>
            </w:r>
          </w:p>
        </w:tc>
        <w:tc>
          <w:tcPr>
            <w:tcW w:w="5186" w:type="dxa"/>
            <w:tcBorders>
              <w:top w:val="nil"/>
              <w:left w:val="nil"/>
              <w:bottom w:val="single" w:sz="4" w:space="0" w:color="auto"/>
              <w:right w:val="single" w:sz="4" w:space="0" w:color="auto"/>
            </w:tcBorders>
            <w:shd w:val="clear" w:color="000000" w:fill="FFFFFF"/>
            <w:vAlign w:val="center"/>
          </w:tcPr>
          <w:p w:rsidR="008F1C35"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评价项目实施机构是否按照信息公开相关要求及时、准确公开信息。</w:t>
            </w:r>
          </w:p>
        </w:tc>
      </w:tr>
      <w:tr w:rsidR="003E6881">
        <w:trPr>
          <w:jc w:val="center"/>
        </w:trPr>
        <w:tc>
          <w:tcPr>
            <w:tcW w:w="9954" w:type="dxa"/>
            <w:gridSpan w:val="4"/>
            <w:tcBorders>
              <w:top w:val="nil"/>
              <w:left w:val="nil"/>
              <w:bottom w:val="nil"/>
              <w:right w:val="nil"/>
            </w:tcBorders>
            <w:shd w:val="clear" w:color="auto" w:fill="auto"/>
            <w:noWrap/>
            <w:vAlign w:val="center"/>
          </w:tcPr>
          <w:p w:rsidR="008F1C35" w:rsidRDefault="005F66AD">
            <w:pPr>
              <w:widowControl w:val="0"/>
              <w:adjustRightInd w:val="0"/>
              <w:snapToGrid w:val="0"/>
              <w:spacing w:line="600" w:lineRule="exact"/>
              <w:rPr>
                <w:rFonts w:ascii="宋体" w:eastAsia="宋体" w:hAnsi="宋体" w:cs="宋体"/>
                <w:sz w:val="22"/>
                <w:szCs w:val="22"/>
              </w:rPr>
            </w:pPr>
            <w:r>
              <w:rPr>
                <w:rFonts w:ascii="宋体" w:eastAsia="宋体" w:hAnsi="宋体" w:cs="宋体" w:hint="eastAsia"/>
                <w:sz w:val="22"/>
                <w:szCs w:val="22"/>
              </w:rPr>
              <w:t>备注：应根据项目行业特点与实际情况等适当调整二级指标，细化形成三级指标。</w:t>
            </w:r>
          </w:p>
        </w:tc>
      </w:tr>
    </w:tbl>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headerReference w:type="default" r:id="rId9"/>
          <w:footerReference w:type="default" r:id="rId10"/>
          <w:pgSz w:w="11906" w:h="16838"/>
          <w:pgMar w:top="1440" w:right="1080" w:bottom="1440" w:left="1080" w:header="851" w:footer="992" w:gutter="0"/>
          <w:cols w:space="425"/>
          <w:docGrid w:type="lines" w:linePitch="326"/>
        </w:sectPr>
      </w:pPr>
    </w:p>
    <w:p w:rsidR="006D4264" w:rsidRDefault="006D4264" w:rsidP="009B455A">
      <w:pPr>
        <w:pStyle w:val="1"/>
        <w:adjustRightInd w:val="0"/>
        <w:snapToGrid w:val="0"/>
        <w:spacing w:before="0" w:after="0" w:line="600" w:lineRule="exact"/>
      </w:pPr>
    </w:p>
    <w:sectPr w:rsidR="006D4264" w:rsidSect="003E6881">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636" w:rsidRDefault="007D5636" w:rsidP="003E6881">
      <w:pPr>
        <w:ind w:firstLine="420"/>
      </w:pPr>
      <w:r>
        <w:separator/>
      </w:r>
    </w:p>
  </w:endnote>
  <w:endnote w:type="continuationSeparator" w:id="1">
    <w:p w:rsidR="007D5636" w:rsidRDefault="007D5636" w:rsidP="003E688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3841442"/>
    </w:sdtPr>
    <w:sdtContent>
      <w:p w:rsidR="003E6881" w:rsidRDefault="004749F4">
        <w:pPr>
          <w:pStyle w:val="a6"/>
          <w:jc w:val="center"/>
          <w:rPr>
            <w:rFonts w:ascii="Times New Roman" w:hAnsi="Times New Roman" w:cs="Times New Roman"/>
          </w:rPr>
        </w:pPr>
        <w:r>
          <w:rPr>
            <w:rFonts w:ascii="Times New Roman" w:hAnsi="Times New Roman" w:cs="Times New Roman"/>
          </w:rPr>
          <w:fldChar w:fldCharType="begin"/>
        </w:r>
        <w:r w:rsidR="005F66AD">
          <w:rPr>
            <w:rFonts w:ascii="Times New Roman" w:hAnsi="Times New Roman" w:cs="Times New Roman"/>
          </w:rPr>
          <w:instrText>PAGE   \* MERGEFORMAT</w:instrText>
        </w:r>
        <w:r>
          <w:rPr>
            <w:rFonts w:ascii="Times New Roman" w:hAnsi="Times New Roman" w:cs="Times New Roman"/>
          </w:rPr>
          <w:fldChar w:fldCharType="separate"/>
        </w:r>
        <w:r w:rsidR="00017D44" w:rsidRPr="00017D44">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636" w:rsidRDefault="007D5636" w:rsidP="003E6881">
      <w:pPr>
        <w:ind w:firstLine="420"/>
      </w:pPr>
      <w:r>
        <w:separator/>
      </w:r>
    </w:p>
  </w:footnote>
  <w:footnote w:type="continuationSeparator" w:id="1">
    <w:p w:rsidR="007D5636" w:rsidRDefault="007D5636" w:rsidP="003E688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81" w:rsidRDefault="003E6881">
    <w:pPr>
      <w:pStyle w:val="a7"/>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FB7"/>
    <w:multiLevelType w:val="multilevel"/>
    <w:tmpl w:val="35234FB7"/>
    <w:lvl w:ilvl="0">
      <w:start w:val="1"/>
      <w:numFmt w:val="chineseCountingThousand"/>
      <w:lvlText w:val="第%1条"/>
      <w:lvlJc w:val="left"/>
      <w:pPr>
        <w:ind w:left="2264" w:hanging="420"/>
      </w:pPr>
      <w:rPr>
        <w:rFonts w:hint="eastAsia"/>
        <w:b/>
        <w:color w:val="000000" w:themeColor="text1"/>
        <w:lang w:val="en-US"/>
      </w:rPr>
    </w:lvl>
    <w:lvl w:ilvl="1">
      <w:start w:val="1"/>
      <w:numFmt w:val="japaneseCounting"/>
      <w:lvlText w:val="（%2）"/>
      <w:lvlJc w:val="left"/>
      <w:pPr>
        <w:ind w:left="2932" w:hanging="810"/>
      </w:pPr>
      <w:rPr>
        <w:rFonts w:hint="default"/>
      </w:rPr>
    </w:lvl>
    <w:lvl w:ilvl="2">
      <w:start w:val="1"/>
      <w:numFmt w:val="decimal"/>
      <w:lvlText w:val="%3."/>
      <w:lvlJc w:val="left"/>
      <w:pPr>
        <w:ind w:left="2902" w:hanging="360"/>
      </w:pPr>
      <w:rPr>
        <w:rFonts w:hint="default"/>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1">
    <w:nsid w:val="5E7E3F48"/>
    <w:multiLevelType w:val="multilevel"/>
    <w:tmpl w:val="5E7E3F48"/>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EC7"/>
    <w:rsid w:val="00017D44"/>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772"/>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568B3"/>
    <w:rsid w:val="004744D9"/>
    <w:rsid w:val="004749F4"/>
    <w:rsid w:val="00485B24"/>
    <w:rsid w:val="00486E66"/>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2684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D5636"/>
    <w:rsid w:val="007E5561"/>
    <w:rsid w:val="007F00CD"/>
    <w:rsid w:val="00803E95"/>
    <w:rsid w:val="00812F5D"/>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1C35"/>
    <w:rsid w:val="008F253A"/>
    <w:rsid w:val="008F54E8"/>
    <w:rsid w:val="00902829"/>
    <w:rsid w:val="00926FA0"/>
    <w:rsid w:val="0094328E"/>
    <w:rsid w:val="0095553A"/>
    <w:rsid w:val="00960A3F"/>
    <w:rsid w:val="00966279"/>
    <w:rsid w:val="00970982"/>
    <w:rsid w:val="009747E2"/>
    <w:rsid w:val="00986A1D"/>
    <w:rsid w:val="009B455A"/>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0626C"/>
    <w:rsid w:val="00C2274B"/>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72B04"/>
    <w:rsid w:val="00EA74AD"/>
    <w:rsid w:val="00EB5DFD"/>
    <w:rsid w:val="00EC4EF5"/>
    <w:rsid w:val="00EC65FB"/>
    <w:rsid w:val="00ED6ECB"/>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881"/>
    <w:rPr>
      <w:rFonts w:eastAsiaTheme="minorEastAsia"/>
      <w:sz w:val="24"/>
      <w:szCs w:val="24"/>
    </w:rPr>
  </w:style>
  <w:style w:type="paragraph" w:styleId="1">
    <w:name w:val="heading 1"/>
    <w:basedOn w:val="a"/>
    <w:next w:val="a"/>
    <w:uiPriority w:val="9"/>
    <w:qFormat/>
    <w:rsid w:val="003E6881"/>
    <w:pPr>
      <w:keepNext/>
      <w:keepLines/>
      <w:widowControl w:val="0"/>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6881"/>
  </w:style>
  <w:style w:type="paragraph" w:styleId="a4">
    <w:name w:val="Body Text"/>
    <w:basedOn w:val="a"/>
    <w:qFormat/>
    <w:rsid w:val="003E6881"/>
    <w:pPr>
      <w:widowControl w:val="0"/>
      <w:spacing w:line="160" w:lineRule="exact"/>
      <w:jc w:val="both"/>
    </w:pPr>
    <w:rPr>
      <w:rFonts w:eastAsia="仿宋_GB2312"/>
      <w:color w:val="0000FF"/>
      <w:kern w:val="2"/>
      <w:sz w:val="21"/>
      <w:szCs w:val="20"/>
    </w:rPr>
  </w:style>
  <w:style w:type="paragraph" w:styleId="a5">
    <w:name w:val="Balloon Text"/>
    <w:basedOn w:val="a"/>
    <w:link w:val="Char0"/>
    <w:qFormat/>
    <w:rsid w:val="003E6881"/>
    <w:rPr>
      <w:sz w:val="18"/>
      <w:szCs w:val="18"/>
    </w:rPr>
  </w:style>
  <w:style w:type="paragraph" w:styleId="a6">
    <w:name w:val="footer"/>
    <w:basedOn w:val="a"/>
    <w:uiPriority w:val="99"/>
    <w:unhideWhenUsed/>
    <w:qFormat/>
    <w:rsid w:val="003E6881"/>
    <w:pPr>
      <w:widowControl w:val="0"/>
      <w:tabs>
        <w:tab w:val="center" w:pos="4153"/>
        <w:tab w:val="right" w:pos="8306"/>
      </w:tabs>
      <w:snapToGrid w:val="0"/>
    </w:pPr>
    <w:rPr>
      <w:rFonts w:asciiTheme="minorHAnsi" w:hAnsiTheme="minorHAnsi" w:cstheme="minorBidi"/>
      <w:kern w:val="2"/>
      <w:sz w:val="18"/>
      <w:szCs w:val="18"/>
    </w:rPr>
  </w:style>
  <w:style w:type="paragraph" w:styleId="a7">
    <w:name w:val="header"/>
    <w:basedOn w:val="a"/>
    <w:uiPriority w:val="99"/>
    <w:unhideWhenUsed/>
    <w:qFormat/>
    <w:rsid w:val="003E688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rsid w:val="003E6881"/>
    <w:pPr>
      <w:tabs>
        <w:tab w:val="left" w:pos="1050"/>
        <w:tab w:val="right" w:leader="dot" w:pos="8296"/>
      </w:tabs>
      <w:spacing w:line="720" w:lineRule="auto"/>
    </w:pPr>
    <w:rPr>
      <w:kern w:val="2"/>
    </w:rPr>
  </w:style>
  <w:style w:type="paragraph" w:styleId="a8">
    <w:name w:val="annotation subject"/>
    <w:basedOn w:val="a3"/>
    <w:next w:val="a3"/>
    <w:link w:val="Char1"/>
    <w:qFormat/>
    <w:rsid w:val="003E6881"/>
    <w:rPr>
      <w:b/>
      <w:bCs/>
    </w:rPr>
  </w:style>
  <w:style w:type="table" w:styleId="a9">
    <w:name w:val="Table Grid"/>
    <w:basedOn w:val="a1"/>
    <w:uiPriority w:val="39"/>
    <w:qFormat/>
    <w:rsid w:val="003E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3E6881"/>
    <w:rPr>
      <w:color w:val="0563C1" w:themeColor="hyperlink"/>
      <w:u w:val="single"/>
    </w:rPr>
  </w:style>
  <w:style w:type="character" w:styleId="ab">
    <w:name w:val="annotation reference"/>
    <w:basedOn w:val="a0"/>
    <w:qFormat/>
    <w:rsid w:val="003E6881"/>
    <w:rPr>
      <w:sz w:val="21"/>
      <w:szCs w:val="21"/>
    </w:rPr>
  </w:style>
  <w:style w:type="paragraph" w:customStyle="1" w:styleId="11">
    <w:name w:val="列出段落1"/>
    <w:basedOn w:val="a"/>
    <w:uiPriority w:val="99"/>
    <w:qFormat/>
    <w:rsid w:val="003E6881"/>
    <w:pPr>
      <w:widowControl w:val="0"/>
      <w:ind w:firstLineChars="200" w:firstLine="420"/>
      <w:jc w:val="both"/>
    </w:pPr>
    <w:rPr>
      <w:rFonts w:asciiTheme="minorHAnsi" w:hAnsiTheme="minorHAnsi" w:cstheme="minorBidi"/>
      <w:kern w:val="2"/>
      <w:sz w:val="21"/>
      <w:szCs w:val="22"/>
    </w:rPr>
  </w:style>
  <w:style w:type="paragraph" w:customStyle="1" w:styleId="110">
    <w:name w:val="列出段落11"/>
    <w:basedOn w:val="a"/>
    <w:uiPriority w:val="34"/>
    <w:qFormat/>
    <w:rsid w:val="003E6881"/>
    <w:pPr>
      <w:widowControl w:val="0"/>
      <w:ind w:firstLineChars="200" w:firstLine="420"/>
      <w:jc w:val="both"/>
    </w:pPr>
    <w:rPr>
      <w:rFonts w:asciiTheme="minorHAnsi" w:hAnsiTheme="minorHAnsi" w:cstheme="minorBidi"/>
      <w:kern w:val="2"/>
      <w:sz w:val="21"/>
      <w:szCs w:val="22"/>
    </w:rPr>
  </w:style>
  <w:style w:type="paragraph" w:styleId="ac">
    <w:name w:val="List Paragraph"/>
    <w:basedOn w:val="a"/>
    <w:uiPriority w:val="34"/>
    <w:qFormat/>
    <w:rsid w:val="003E6881"/>
    <w:pPr>
      <w:ind w:firstLineChars="200" w:firstLine="420"/>
    </w:pPr>
    <w:rPr>
      <w:kern w:val="2"/>
    </w:rPr>
  </w:style>
  <w:style w:type="paragraph" w:customStyle="1" w:styleId="21">
    <w:name w:val="列出段落21"/>
    <w:basedOn w:val="a"/>
    <w:qFormat/>
    <w:rsid w:val="003E6881"/>
    <w:pPr>
      <w:widowControl w:val="0"/>
      <w:ind w:firstLineChars="200" w:firstLine="420"/>
      <w:jc w:val="both"/>
    </w:pPr>
    <w:rPr>
      <w:rFonts w:ascii="等线" w:eastAsia="等线" w:hAnsi="等线"/>
      <w:kern w:val="2"/>
      <w:sz w:val="21"/>
      <w:szCs w:val="21"/>
    </w:rPr>
  </w:style>
  <w:style w:type="paragraph" w:customStyle="1" w:styleId="2">
    <w:name w:val="列出段落2"/>
    <w:basedOn w:val="a"/>
    <w:uiPriority w:val="99"/>
    <w:qFormat/>
    <w:rsid w:val="003E6881"/>
    <w:pPr>
      <w:ind w:firstLineChars="200" w:firstLine="420"/>
    </w:pPr>
    <w:rPr>
      <w:kern w:val="2"/>
    </w:rPr>
  </w:style>
  <w:style w:type="character" w:customStyle="1" w:styleId="Char0">
    <w:name w:val="批注框文本 Char"/>
    <w:basedOn w:val="a0"/>
    <w:link w:val="a5"/>
    <w:qFormat/>
    <w:rsid w:val="003E6881"/>
    <w:rPr>
      <w:rFonts w:eastAsiaTheme="minorEastAsia"/>
      <w:sz w:val="18"/>
      <w:szCs w:val="18"/>
    </w:rPr>
  </w:style>
  <w:style w:type="character" w:customStyle="1" w:styleId="Char">
    <w:name w:val="批注文字 Char"/>
    <w:basedOn w:val="a0"/>
    <w:link w:val="a3"/>
    <w:qFormat/>
    <w:rsid w:val="003E6881"/>
    <w:rPr>
      <w:rFonts w:eastAsiaTheme="minorEastAsia"/>
      <w:sz w:val="24"/>
      <w:szCs w:val="24"/>
    </w:rPr>
  </w:style>
  <w:style w:type="character" w:customStyle="1" w:styleId="Char1">
    <w:name w:val="批注主题 Char"/>
    <w:basedOn w:val="Char"/>
    <w:link w:val="a8"/>
    <w:qFormat/>
    <w:rsid w:val="003E6881"/>
    <w:rPr>
      <w:rFonts w:eastAsiaTheme="minorEastAsia"/>
      <w:b/>
      <w:bCs/>
      <w:sz w:val="24"/>
      <w:szCs w:val="24"/>
    </w:rPr>
  </w:style>
  <w:style w:type="paragraph" w:customStyle="1" w:styleId="12">
    <w:name w:val="修订版本号1"/>
    <w:hidden/>
    <w:uiPriority w:val="99"/>
    <w:unhideWhenUsed/>
    <w:qFormat/>
    <w:rsid w:val="003E6881"/>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8C347-10C7-4F56-BFC4-0D4DB81C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4</cp:revision>
  <cp:lastPrinted>2020-03-31T01:48:00Z</cp:lastPrinted>
  <dcterms:created xsi:type="dcterms:W3CDTF">2020-04-14T10:52:00Z</dcterms:created>
  <dcterms:modified xsi:type="dcterms:W3CDTF">2020-04-14T10:56:00Z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